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BayWeinRAV (Bayern) — Anbau von wurzelechten Reben (zu § 6 Abs. 3 und Abs. 1 Nr. 8 PflSchG)</w:t>
      </w:r>
    </w:p>
    <w:p>
      <w:r>
        <w:rPr>
          <w:color w:val="555555"/>
          <w:sz w:val="18"/>
        </w:rPr>
        <w:t xml:space="preserve">Verordnung zur Ausführung weinrechtlicher Vorschriften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Es dürfen nur Wurzelreben, die nicht für die Wurzelreblaus anfällig sind, angebaut werden. Das Julius Kühn-Institut – Bundesforschungsinstitut für Kulturpflanzen gibt die Rebsorten, die als nicht anfällig für die Wurzelreblaus gelten, im Bundesanzeiger bekannt.</w:t>
      </w:r>
    </w:p>
    <w:p>
      <w:r>
        <w:rPr>
          <w:color w:val="555555"/>
          <w:sz w:val="17"/>
        </w:rPr>
        <w:t xml:space="preserve">Zitiervorschlag: § 9 BayWeinRAV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https://recht.nulegal.eu/gesetze/BayWeinRAV/9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