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BayWeinRAV (Bayern) — Sicherheitsgürtel (zu § 6 Abs. 3 und Abs. 1 Nr. 11 PflSchG)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zuständige Behörde kann zur Abgrenzung eines mit Reblaus befallenen Grundstücks oder Grundstücksteils (Reblausherd) einen Sicherheitsgürtel festlegen. Die Breite des Sicherheitsgürtels beträgt in der Regel nicht mehr als 15 Meter.</w:t>
      </w:r>
    </w:p>
    <w:p>
      <w:r>
        <w:t xml:space="preserve">(2) Der Eigentümer und der Bewirtschafter von Rebflächen sind verpflichtet,</w:t>
      </w:r>
    </w:p>
    <w:p>
      <w:r>
        <w:t xml:space="preserve">1. in dem Sicherheitsgürtel Reben unverzüglich zu entfernen und Unterstützungsmaterial zu vernichten, sofern keine abweichende Anordnung nach § 2 Nr. 5 der Reblausverordnung ergeht,</w:t>
      </w:r>
    </w:p>
    <w:p>
      <w:r>
        <w:t xml:space="preserve">2. in dem Reblausherd und in dem Sicherheitsgürtel die Wiederbestockung mit Reben innerhalb eines von der zuständigen Behörde festzusetzenden Zeitraums zu unterlassen.</w:t>
      </w:r>
    </w:p>
    <w:p>
      <w:r>
        <w:rPr>
          <w:color w:val="555555"/>
          <w:sz w:val="17"/>
        </w:rPr>
        <w:t xml:space="preserve">Zitiervorschlag: § 8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