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BayWeinRAV (Bayern) — Entfernung von Edelreiswurzeln, Unterlagsreben und Rebstöcken (zu § 6 Abs. 3 und Abs. 1 Nr. 5 Pflanzenschutzgesetz – PflSchG)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Eigentümer und Bewirtschafter von Rebflächen sind verpflichtet</w:t>
      </w:r>
    </w:p>
    <w:p>
      <w:r>
        <w:t xml:space="preserve">1. Wurzeln am Edelreis der Pfropfrebe,</w:t>
      </w:r>
    </w:p>
    <w:p>
      <w:r>
        <w:t xml:space="preserve">2. hochgewachsenen Aufwuchs von Unterlagsreben mit Wurzeln und</w:t>
      </w:r>
    </w:p>
    <w:p>
      <w:r>
        <w:t xml:space="preserve">3. in Drieschen vorhandene Rebstöcke</w:t>
      </w:r>
    </w:p>
    <w:p>
      <w:r>
        <w:t xml:space="preserve">unverzüglich zu entfernen. Drieschen sind Weinberge, in denen die ordnungsgemäße Pflege, insbesondere Pflanzenschutzmaßnahmen, Bodenpflege, Rebschnitt oder Lese mindestens zwei Jahre unterblieben ist.</w:t>
      </w:r>
    </w:p>
    <w:p>
      <w:r>
        <w:rPr>
          <w:color w:val="555555"/>
          <w:sz w:val="17"/>
        </w:rPr>
        <w:t xml:space="preserve">Zitiervorschlag: § 7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