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BayWeinRAV (Bayern) — Klassifizierung von Rebsorten (zu § 8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Herstellung von Wein sind die in der jeweils gültigen Liste zum Sortenregister des Bundessortenamts genannten sowie die in anderen EU-Mitgliedstaaten klassifizierten Rebsorten zugelassen. In Anlage 1 sind die zulässige Verwendung von synonymen Sortenbezeichnungen sowie weitere zur Herstellung von Wein zulässige Rebsorten festgelegt.</w:t>
      </w:r>
    </w:p>
    <w:p>
      <w:r>
        <w:t xml:space="preserve">(2) In Anlage 1 werden weitere Rebsorten aufgenommen, wenn die Voraussetzungen für die Klassifizierung durch die zuständige Behörde festgestellt worden sind.</w:t>
      </w:r>
    </w:p>
    <w:p>
      <w:r>
        <w:t xml:space="preserve">(3) In Anlage 1 können auf Antrag nur solche Keltertraubensorten aufgenommen werden, die die folgenden Bedingungen erfüllen:</w:t>
      </w:r>
    </w:p>
    <w:p>
      <w:r>
        <w:t xml:space="preserve">1. Die betreffende Keltertraubensorte gehört der Art Vitis vinifera an oder stammt aus einer Kreuzung der Art Vitis vinifera mit anderen Arten der Gattung Vitis;</w:t>
      </w:r>
    </w:p>
    <w:p>
      <w:r>
        <w:t xml:space="preserve">2. die betreffende Keltertraubensorte ist keine der Folgenden: Noah, Othello, Isabelle, Jacquez, Clinton und Herbemont.</w:t>
      </w:r>
    </w:p>
    <w:p>
      <w:r>
        <w:t xml:space="preserve">Der Antrag kann von Erzeugern, deren berufsständischen Vertretungen, Erzeugergemeinschaften und Branchenverbänden gestellt werden. Nachweise über die Klassifizierungsvoraussetzungen sind vom Antragsteller durch geeignete Unterlagen zu erbringen.</w:t>
      </w:r>
    </w:p>
    <w:p>
      <w:r>
        <w:rPr>
          <w:color w:val="555555"/>
          <w:sz w:val="17"/>
        </w:rPr>
        <w:t xml:space="preserve">Zitiervorschlag: § 6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