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BayWeinRAV (Bayern) — Branchenverbände und Organisationen zur Verwaltung herkunftsgeschützter Weinnamen (zu § 1 Abs. 3 Agrarmarktstrukturverordnung – AgrarMSV und § 22g des Weingesetzes)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Abweichend von § 1 Abs. 3 Satz 1 der AgrarMSV können im Erzeugnisbereich Wein Branchenverbände anerkannt werden.</w:t>
      </w:r>
    </w:p>
    <w:p>
      <w:r>
        <w:t xml:space="preserve">(2) Organisationen zur Verwaltung herkunftsgeschützter Weinnamen können anerkannt werden, wenn sie eine Gruppe von Erzeugern vertreten, die für das Gebiet, auf das sich der Herkunftsschutz bezieht, hinreichend repräsentativ im Sinne des § 22g Abs. 3 des Weingesetzes sind.</w:t>
      </w:r>
    </w:p>
    <w:p>
      <w:r>
        <w:rPr>
          <w:color w:val="555555"/>
          <w:sz w:val="17"/>
        </w:rPr>
        <w:t xml:space="preserve">Zitiervorschlag: § 4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