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BayWeinRAV (Bayern) — Analysenbuchführung (zu § 13 Abs. 2 Satz 2 der Wein-Überwachungsverordnung)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Buchführungsverfahren muss die Gewähr für eine ordnungsgemäße Buchführung bieten.</w:t>
      </w:r>
    </w:p>
    <w:p>
      <w:r>
        <w:t xml:space="preserve">(2) Für jede Untersuchung eines Erzeugnisses ist ein Beleg handschriftlich oder maschinell zu erstellen. Die Belege sind vom Zeitpunkt der Erstellung an mindestens fünf Jahre in den Geschäftsräumen aufzubewahren.</w:t>
      </w:r>
    </w:p>
    <w:p>
      <w:r>
        <w:t xml:space="preserve">(3) Jeder Analysenbefund ist mit einer Nummer zu versehen, die in einem Journal festgehalten werden muss. Daten nach § 13 Abs. 1 Satz 2 Nr. 2 der Wein-Überwachungsverordnung müssen spätestens am übernächsten Arbeitstag seit ihrer Ermittlung eingegeben werden.</w:t>
      </w:r>
    </w:p>
    <w:p>
      <w:r>
        <w:t xml:space="preserve">(4) Alle Eingaben sind zum Ende des jeweiligen Arbeitstages zu dokumentieren.</w:t>
      </w:r>
    </w:p>
    <w:p>
      <w:r>
        <w:rPr>
          <w:color w:val="555555"/>
          <w:sz w:val="17"/>
        </w:rPr>
        <w:t xml:space="preserve">Zitiervorschlag: § 26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