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BayWeinRAV (Bayern) — Löschungen in der Weinbergsrolle (zu § 23 Abs. 4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Eintragung einer nach § 19 Abs. 1 eingetragenen Lage oder einer nach § 19 Abs. 10 eingetragenen kleineren geografischen Einheit ist auf Antrag eines nach § 19 Abs. 2 Antragsberechtigten zu löschen oder zu ändern.</w:t>
      </w:r>
    </w:p>
    <w:p>
      <w:r>
        <w:t xml:space="preserve">(2) Die Eintragung einer Lage oder einer kleineren geografischen Einheit ist von Amts wegen zu löschen, wenn</w:t>
      </w:r>
    </w:p>
    <w:p>
      <w:r>
        <w:t xml:space="preserve">1. die Eintragungsvoraussetzungen zum Zeitpunkt der Eintragung nicht gegeben waren oder nicht mehr gegeben sind oder</w:t>
      </w:r>
    </w:p>
    <w:p>
      <w:r>
        <w:t xml:space="preserve">2. der Name zum letzten Mal für einen Wein oder einen Ausgangsstoff verwendet wurde, der vor mehr als fünf Jahren in der Lage oder der kleineren geografischen Einheit gewonnen wurde.</w:t>
      </w:r>
    </w:p>
    <w:p>
      <w:r>
        <w:t xml:space="preserve">(3) Die Eintragung eines Bereichs ist von Amts wegen zu löschen, wenn</w:t>
      </w:r>
    </w:p>
    <w:p>
      <w:r>
        <w:t xml:space="preserve">1. der eingetragene Bereich der Begriffsbestimmung nach § 2 Nr. 23 des Weingesetzes zum Zeitpunkt der Eintragung nicht entsprochen hat oder nicht mehr entspricht oder</w:t>
      </w:r>
    </w:p>
    <w:p>
      <w:r>
        <w:t xml:space="preserve">2. der Name zum letzten Mal für einen Wein oder einen Ausgangsstoff verwendet wurde, der vor mehr als fünf Jahren in dem Bereich gewonnen wurde.</w:t>
      </w:r>
    </w:p>
    <w:p>
      <w:r>
        <w:t xml:space="preserve">(4) § 19 Abs. 9 gilt entsprechend.</w:t>
      </w:r>
    </w:p>
    <w:p>
      <w:r>
        <w:rPr>
          <w:color w:val="555555"/>
          <w:sz w:val="17"/>
        </w:rPr>
        <w:t xml:space="preserve">Zitiervorschlag: § 21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