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BayWeinRAV (Bayern) — Bocksbeutelweine (zu § 33a der Weinverordnung)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Weine, die für eine Füllung im Bocksbeutel bestimmt sind, müssen von Rebflächen stammen, auf denen der Hektarhöchstertrag höchstens 99 hl beträgt und die innerhalb einer Gemeinde liegen.</w:t>
      </w:r>
    </w:p>
    <w:p>
      <w:r>
        <w:t xml:space="preserve">(2) Weine, die für eine Füllung im Bocksbeutel bestimmt sind, müssen bei der Sinnenprüfung gemäß § 24 der Weinverordnung die Mindestpunktzahl 2,0 erreichen.</w:t>
      </w:r>
    </w:p>
    <w:p>
      <w:r>
        <w:rPr>
          <w:color w:val="555555"/>
          <w:sz w:val="17"/>
        </w:rPr>
        <w:t xml:space="preserve">Zitiervorschlag: § 18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