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BayWeinRAV (Bayern) — Aufnahme in das Kontrollsystem, Anerkennung (zu § 22 Abs. 3 Nr. 3 und § 24 Abs. 5 Nr. 1 des Weingesetzes)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ein Kontrollsystem aufgenommen im Sinne des § 22 Abs. 1 Nr. 3 des Weingesetzes ist, wem eine Betriebsnummer erteilt wurde und wer die Meldung nach § 16 abgegeben hat.</w:t>
      </w:r>
    </w:p>
    <w:p>
      <w:r>
        <w:t xml:space="preserve">(2) Anerkannt und ermächtigt im Sinne des Art. 12 Abs. 3 der Verordnung (EU) Nr. 2018/274 ist, wem eine Betriebsnummer erteilt wurde und wer die Meldung nach § 16 abgegeben hat.</w:t>
      </w:r>
    </w:p>
    <w:p>
      <w:r>
        <w:rPr>
          <w:color w:val="555555"/>
          <w:sz w:val="17"/>
        </w:rPr>
        <w:t xml:space="preserve">Zitiervorschlag: § 17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