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BayWeinRAV (Bayern) — Handlese (zu § 20 Abs. 6 und § 24 Abs. 4 Nr. 2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Sicherung der Qualität muss die Lese von Trauben, deren Erzeugnis später das Prädikat Auslese oder Eiswein zuerkannt werden soll, von Hand erfolgen.</w:t>
      </w:r>
    </w:p>
    <w:p>
      <w:r>
        <w:t xml:space="preserve">(2) Der Begriff „fränkisch trocken“ ist Weinen der geschützten Ursprungsbezeichnung „Franken“ vorbehalten. Der für die Erzeugung verwendete Most muss einen natürlichen Alkoholgehalt von mindestens 10,3 % vol aufweisen. Der Wein hat einen maximalen Gehalt an vergärbarem Zucker von 4 g je Liter.</w:t>
      </w:r>
    </w:p>
    <w:p>
      <w:r>
        <w:rPr>
          <w:color w:val="555555"/>
          <w:sz w:val="17"/>
        </w:rPr>
        <w:t xml:space="preserve">Zitiervorschlag: § 13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