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BayWeinRAV (Bayern) — Änderungsmeldungen (zu § 29 Abs. 3 der Wein-Überwachungsverordnung)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Vorgenommene Rodungen, Wiederbepflanzungen oder Neuanpflanzungen sind der zuständigen Stelle bis zum jeweils folgenden 31. Mai zu melden.</w:t>
      </w:r>
    </w:p>
    <w:p>
      <w:r>
        <w:t xml:space="preserve">(2) Zur Sicherung einer ausreichenden Überwachung sind der zuständigen Stelle zusammen mit den Meldungen nach Abs. 1 Änderungen bezüglich der Gesamtrebfläche und der Ertragsrebfläche des Betriebs mitzuteilen.</w:t>
      </w:r>
    </w:p>
    <w:p>
      <w:r>
        <w:rPr>
          <w:color w:val="555555"/>
          <w:sz w:val="17"/>
        </w:rPr>
        <w:t xml:space="preserve">Zitiervorschlag: § 12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