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BayWeinRAV (Bayern) — Weinbaugebiet Bayern (zu § 3 Abs. 4 des Weingesetzes)</w:t>
      </w:r>
    </w:p>
    <w:p>
      <w:r>
        <w:rPr>
          <w:color w:val="555555"/>
          <w:sz w:val="18"/>
        </w:rPr>
        <w:t xml:space="preserve">Verordnung zur Ausführung weinrechtlicher Vorschriften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Weinbaugebiet Bayern besteht aus den jeweils zulässigerweise mit Keltertrauben bestockten oder vorübergehend unbestockten Rebflächen im Bayerischen Staatsgebiet. Das Gebiet von geschützten geografischen Herkunftsangaben ist über die Produktspezifikation abzugrenzen.</w:t>
      </w:r>
    </w:p>
    <w:p>
      <w:r>
        <w:t xml:space="preserve">(2) Die Flächen werden in das Rebflächenverzeichnis der Weinbaukartei aufgenommen.</w:t>
      </w:r>
    </w:p>
    <w:p>
      <w:r>
        <w:rPr>
          <w:color w:val="555555"/>
          <w:sz w:val="17"/>
        </w:rPr>
        <w:t xml:space="preserve">Zitiervorschlag: § 1 BayWeinRAV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https://recht.nulegal.eu/gesetze/BayWeinRAV/1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