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BayWeinAFöG (Bayern)</w:t>
      </w:r>
    </w:p>
    <w:p>
      <w:r>
        <w:rPr>
          <w:color w:val="555555"/>
          <w:sz w:val="18"/>
        </w:rPr>
        <w:t xml:space="preserve">Bayerisches Weinabsatzförderungsgesetz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Landtag des Freistaates Bayern hat das folgende Gesetz beschlossen, das hiermit bekannt gemacht wird:</w:t>
      </w:r>
    </w:p>
    <w:p>
      <w:r>
        <w:rPr>
          <w:color w:val="555555"/>
          <w:sz w:val="17"/>
        </w:rPr>
        <w:t xml:space="preserve">Zitiervorschlag: Eingangsformel BayWeinAFöG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https://recht.nulegal.eu/gesetze/BayWeinAF%C3%B6G/eingangsformel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