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 BayWeinAFöG (Bayern) — Wirtschaftsplan</w:t>
      </w:r>
    </w:p>
    <w:p>
      <w:r>
        <w:rPr>
          <w:color w:val="555555"/>
          <w:sz w:val="18"/>
        </w:rPr>
        <w:t xml:space="preserve">Bayerisches Weinabsatzförderungsgesetz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Bewirtschaftung der Mittel aus der Abgabe ist auf Grundlage eines Vorschlags des Werbebeirats für jedes Haushaltsjahr von der nach Art. 3 Abs. 1 zuständigen Behörde ein Wirtschaftsplan aufzustellen.</w:t>
      </w:r>
    </w:p>
    <w:p>
      <w:r>
        <w:t xml:space="preserve">(2) Für das Haushalts-, Kassen- und Rechnungswesen sind die für den Freistaat Bayern jeweils geltenden Vorschriften anzuwenden. Die für Gemeinden geltenden haushaltsrechtlichen Vorschriften bleiben unberührt.</w:t>
      </w:r>
    </w:p>
    <w:p>
      <w:r>
        <w:rPr>
          <w:color w:val="555555"/>
          <w:sz w:val="17"/>
        </w:rPr>
        <w:t xml:space="preserve">Zitiervorschlag: Art 4 BayWeinAFöG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https://recht.nulegal.eu/gesetze/BayWeinAF%C3%B6G/4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 BayWeinAFöG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