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BayWeinAFöG (Bayern) — Verwendung der Abgabe</w:t>
      </w:r>
    </w:p>
    <w:p>
      <w:r>
        <w:rPr>
          <w:color w:val="555555"/>
          <w:sz w:val="18"/>
        </w:rPr>
        <w:t xml:space="preserve">Bayerisches Weinabsatzförderungsgesetz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Gefördert werden die von den Verbänden des Weinbaus und der Weinwirtschaft getragenen gebietlichen Absatzförderungseinrichtungen.</w:t>
      </w:r>
    </w:p>
    <w:p>
      <w:r>
        <w:t xml:space="preserve">(2) Gegenstand der Förderung sind herkunftsbezogene gemeinschaftliche und firmenneutrale Werbemaßnahmen.</w:t>
      </w:r>
    </w:p>
    <w:p>
      <w:r>
        <w:t xml:space="preserve">(3) Abweichend von Absatz 2 sind auch einzelne gruppenbezogene oder regionale Maßnahmen der Absatzwerbung förderfähig. Für diesen Förderungszweck sind mindestens 25 Prozent der jährlichen Einnahmen aus der Abgabe zu verwenden.</w:t>
      </w:r>
    </w:p>
    <w:p>
      <w:r>
        <w:rPr>
          <w:color w:val="555555"/>
          <w:sz w:val="17"/>
        </w:rPr>
        <w:t xml:space="preserve">Zitiervorschlag: Art 2 BayWeinAFöG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https://recht.nulegal.eu/gesetze/BayWeinAF%C3%B6G/2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