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BayWaldNatPV (Bayern)</w:t>
      </w:r>
    </w:p>
    <w:p>
      <w:r>
        <w:rPr>
          <w:color w:val="555555"/>
          <w:sz w:val="18"/>
        </w:rPr>
        <w:t xml:space="preserve">Nationalparkverordnung Bayerischer Wald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 Abs. 1 Satz 1, Abs.4 und Art. 45 Abs. 1 Nr. 1 des Bayerischen Naturschutzgesetzes (BayNatSchG) und Art. 77 Abs. 1 Satz2 der Verfassung erläßt die Bayerische Staatsregierung, bezüglich der §§ 1 bis 3 mit Zustimmung des Bayerischen Landtags, folgende Verordnung:</w:t>
      </w:r>
    </w:p>
    <w:p>
      <w:r>
        <w:rPr>
          <w:color w:val="555555"/>
          <w:sz w:val="17"/>
        </w:rPr>
        <w:t xml:space="preserve">Zitiervorschlag: Eingangsformel BayWaldNatPV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https://recht.nulegal.eu/gesetze/BayWaldNatPV/eingangsformel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