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BayWaldNatPV (Bayern) — Förderung</w:t>
      </w:r>
    </w:p>
    <w:p>
      <w:r>
        <w:rPr>
          <w:color w:val="555555"/>
          <w:sz w:val="18"/>
        </w:rPr>
        <w:t xml:space="preserve">Nationalparkverordnung Bayerischer Wald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Im Vorfeld (§ 2 Abs. 2) sollen die dem Schutzzweck (§ 3) dienenden Maßnahmen, insbesondere die dafür notwendigen Einrichtungen zur Bewahrung des Nationalparkgebiets vor übermäßigem Erholungsverkehr, gefördert werden.</w:t>
      </w:r>
    </w:p>
    <w:p>
      <w:r>
        <w:rPr>
          <w:color w:val="555555"/>
          <w:sz w:val="17"/>
        </w:rPr>
        <w:t xml:space="preserve">Zitiervorschlag: § 8 BayWaldNatPV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https://recht.nulegal.eu/gesetze/BayWaldNatPV/8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