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12a BayWaldNatPV (Bayern) — Naturzone</w:t>
      </w:r>
    </w:p>
    <w:p>
      <w:r>
        <w:rPr>
          <w:color w:val="555555"/>
          <w:sz w:val="18"/>
        </w:rPr>
        <w:t xml:space="preserve">Nationalparkverordnung Bayerischer Wald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mindestens 75 % des Nationalparkgebiets nimmt der Mensch keinen Einfluss (Naturzone). Die Naturzone wird im Nationalparkplan (§ 7) gesondert dargestellt.</w:t>
      </w:r>
    </w:p>
    <w:p>
      <w:r>
        <w:rPr>
          <w:color w:val="555555"/>
          <w:sz w:val="17"/>
        </w:rPr>
        <w:t xml:space="preserve">Zitiervorschlag: § 12a BayWaldNatPV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https://recht.nulegal.eu/gesetze/BayWaldNatPV/12a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