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BayWaldNatPV (Bayern) — Betretungsrecht, Aneignung wildwachsender Waldfrüchte</w:t>
      </w:r>
    </w:p>
    <w:p>
      <w:r>
        <w:rPr>
          <w:color w:val="555555"/>
          <w:sz w:val="18"/>
        </w:rPr>
        <w:t xml:space="preserve">Nationalparkverordnung Bayerischer Wald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Betretungsrecht (Art. 26 bis 38 BayNatSchG) bleibt unberührt, soweit die in § 9 enthaltenen Verbotstatbestände nicht vorliegen oder Rechtsvorschriften nach Art. 31 BayNatSchG keine weiteren Beschränkungen enthalten. Unberührt bleibt ferner das Recht auf Aneignung wildwachsender Waldfrüchte (§ 39 Abs. 3 BNatSchG) im Rahmen des Satzes 1.</w:t>
      </w:r>
    </w:p>
    <w:p>
      <w:r>
        <w:rPr>
          <w:color w:val="555555"/>
          <w:sz w:val="17"/>
        </w:rPr>
        <w:t xml:space="preserve">Zitiervorschlag: § 10 BayWaldNatPV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https://recht.nulegal.eu/gesetze/BayWaldNatPV/10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