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BayWaldG (Bayern) — Erhaltung des Waldes</w:t>
      </w:r>
    </w:p>
    <w:p>
      <w:r>
        <w:rPr>
          <w:color w:val="555555"/>
          <w:sz w:val="18"/>
        </w:rPr>
        <w:t xml:space="preserve">Bayerisches Waldgesetz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Jede Handlung, durch welche die Produktionskraft des Waldbodens vernichtet oder wesentlich geschwächt oder durch welche der Waldboden beseitigt wird (Waldzerstörung), ist verboten. Satz 1 gilt nicht, wenn die Erlaubnis zur Rodung erteilt ist.</w:t>
      </w:r>
    </w:p>
    <w:p>
      <w:r>
        <w:t xml:space="preserve">(2) Die Beseitigung von Wald zugunsten einer anderen Bodennutzungsart (Rodung) bedarf der Erlaubnis. Im Schutzwald (Art. 10) gilt als Rodung auch die Überführung von Wald im Sinn des Art. 2 Abs. 1 in Flächen im Sinn des Art. 2 Abs. 2. Die Beseitigung von Wald, der auf natürliche Weise auf bisher anderweitig genutzten Flächen entstanden ist, gilt nicht als Rodung, solang und soweit der Bestand sich noch nicht geschlossen hat.</w:t>
      </w:r>
    </w:p>
    <w:p>
      <w:r>
        <w:t xml:space="preserve">(3) Die Erlaubnis ist zu erteilen, sofern sich aus den Abs. 4 bis 7 nichts anderes ergibt.</w:t>
      </w:r>
    </w:p>
    <w:p>
      <w:r>
        <w:t xml:space="preserve">(4) Die Erlaubnis ist zu versagen, wenn</w:t>
      </w:r>
    </w:p>
    <w:p>
      <w:r>
        <w:t xml:space="preserve">1. es sich um Schutz-, Bann- oder Erholungswald (Art. 10, 11, 12) oder ein Naturwaldreservat (Art. 12a) handelt, unbeschadet des Abs. 6,</w:t>
      </w:r>
    </w:p>
    <w:p>
      <w:r>
        <w:t xml:space="preserve">2. der Rodung Rechtsvorschriften außerhalb dieses Gesetzes entgegenstehen.</w:t>
      </w:r>
    </w:p>
    <w:p>
      <w:r>
        <w:t xml:space="preserve">(5) Die Erlaubnis soll versagt werden, wenn</w:t>
      </w:r>
    </w:p>
    <w:p>
      <w:r>
        <w:t xml:space="preserve">1. die Rodung Plänen im Sinn des Art. 6 widersprechen oder deren Ziele gefährden würde,</w:t>
      </w:r>
    </w:p>
    <w:p>
      <w:r>
        <w:t xml:space="preserve">2. die Erhaltung des Waldes aus anderen Gründen im öffentlichen Interesse liegt und dieses vor den Belangen des Antragstellers den Vorrang verdient.</w:t>
      </w:r>
    </w:p>
    <w:p>
      <w:r>
        <w:t xml:space="preserve">(6) Die Erlaubnis ist zu erteilen</w:t>
      </w:r>
    </w:p>
    <w:p>
      <w:r>
        <w:t xml:space="preserve">1. im Schutzwald, sofern Nachteile für die Schutzfunktion des Waldes nicht zu befürchten sind,</w:t>
      </w:r>
    </w:p>
    <w:p>
      <w:r>
        <w:t xml:space="preserve">2. im Erholungswald, wenn die Erholungsfunktion des Waldes nicht geschmälert wird.</w:t>
      </w:r>
    </w:p>
    <w:p>
      <w:r>
        <w:t xml:space="preserve">Im Bannwald kann die Erlaubnis erteilt werden, wenn sichergestellt ist, dass angrenzend an den vorhandenen Bannwald ein Wald neu begründet wird, der hinsichtlich seiner Ausdehnung und seiner Funktionen dem zu rodenden Wald annähernd gleichwertig ist oder gleichwertig werden kann.</w:t>
      </w:r>
    </w:p>
    <w:p>
      <w:r>
        <w:t xml:space="preserve">(7) Wenn zwingende Gründe des öffentlichen Wohls es erfordern, kann die Erlaubnis auch erteilt werden, wenn die in Abs. 6 genannten Voraussetzungen nicht vorliegen oder nicht geschaffen werden können oder es sich um ein Naturwaldreservat handelt.</w:t>
      </w:r>
    </w:p>
    <w:p>
      <w:r>
        <w:t xml:space="preserve">(8) Soweit in Satzungen, Planfeststellungsbeschlüssen, Genehmigungen und sonstigen behördlichen Gestattungen auf Grund anderer Gesetze die Änderung der Nutzung festgelegt oder zugelassen ist, bedarf es keiner Erlaubnis nach Abs. 2. In den Verfahren nach diesen Gesetzen sind die Abs. 4 bis 7 sinngemäß zu beachten.</w:t>
      </w:r>
    </w:p>
    <w:p>
      <w:r>
        <w:rPr>
          <w:color w:val="555555"/>
          <w:sz w:val="17"/>
        </w:rPr>
        <w:t xml:space="preserve">Zitiervorschlag: Art 9 BayWaldG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https://recht.nulegal.eu/gesetze/BayWaldG/9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