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BayWaldG (Bayern) — Waldfunktionspläne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Waldfunktionspläne enthalten</w:t>
      </w:r>
    </w:p>
    <w:p>
      <w:r>
        <w:t xml:space="preserve">1. die Darstellung und Bewertung der Nutz-, Schutz- und Erholungsfunktionen der Wälder sowie ihre Bedeutung für die biologische Vielfalt,</w:t>
      </w:r>
    </w:p>
    <w:p>
      <w:r>
        <w:t xml:space="preserve">2. die zur Erfüllung der Funktionen und zum Erhalt der biologischen Vielfalt erforderlichen Ziele und Maßnahmen sowie Wege zu ihrer Verwirklichung.</w:t>
      </w:r>
    </w:p>
    <w:p>
      <w:r>
        <w:t xml:space="preserve">(2) Die Waldfunktionspläne unterliegen der ständigen Fortentwicklung.</w:t>
      </w:r>
    </w:p>
    <w:p>
      <w:r>
        <w:rPr>
          <w:color w:val="555555"/>
          <w:sz w:val="17"/>
        </w:rPr>
        <w:t xml:space="preserve">Zitiervorschlag: Art 6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