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BayWaldG (Bayern) — Grundsätze der forstlichen Fachplanung</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 Beachtung der Ziele der Raumordnung und unter Berücksichtigung der Grundsätze und sonstigen Erfordernisse der Raumordnung können Waldfunktionspläne als forstliche Fachplanung aufgestellt werden.</w:t>
      </w:r>
    </w:p>
    <w:p>
      <w:r>
        <w:t xml:space="preserve">(2) Der Wald hat Schutz-, Nutz- und Erholungsfunktionen sowie Bedeutung für die biologische Vielfalt. Er ist deshalb nach Fläche, räumlicher Verteilung, Zusammensetzung und Struktur so zu erhalten, zu mehren und zu gestalten, dass er seine jeweiligen Funktionen – insbesondere die Schutzfunktionen im Bergwald – und seine Bedeutung für die biologische Vielfalt bestmöglich und nachhaltig erfüllen kann.</w:t>
      </w:r>
    </w:p>
    <w:p>
      <w:r>
        <w:rPr>
          <w:color w:val="555555"/>
          <w:sz w:val="17"/>
        </w:rPr>
        <w:t xml:space="preserve">Zitiervorschlag: Art 5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