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BayWaldG (Bayern) — Antragstellung</w:t>
      </w:r>
    </w:p>
    <w:p>
      <w:r>
        <w:rPr>
          <w:color w:val="555555"/>
          <w:sz w:val="18"/>
        </w:rPr>
        <w:t xml:space="preserve">Bayerisches Waldgesetz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Anträge nach diesem Gesetz ist Textform erforderlich. Die Forstbehörde kann Ergänzung um die für die Beurteilung erforderlichen Angaben oder Unterlagen verlangen.</w:t>
      </w:r>
    </w:p>
    <w:p>
      <w:r>
        <w:t xml:space="preserve">(2) Zu Anträgen nach Art. 9, 16 und 17 holt die untere Forstbehörde eine fachgutachtliche Stellungnahme der Kreisverwaltungsbehörde ein.</w:t>
      </w:r>
    </w:p>
    <w:p>
      <w:r>
        <w:t xml:space="preserve">(3) Antragsberechtigt ist, soweit dieses Gesetz nichts anderes bestimmt, der Waldbesitzer oder der Eigentümer der Aufforstungsfläche.</w:t>
      </w:r>
    </w:p>
    <w:p>
      <w:r>
        <w:rPr>
          <w:color w:val="555555"/>
          <w:sz w:val="17"/>
        </w:rPr>
        <w:t xml:space="preserve">Zitiervorschlag: Art 42 BayWaldG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https://recht.nulegal.eu/gesetze/BayWaldG/42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