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BayWaldG (Bayern) — Zuständigkeiten im Rechtsbereich der forstwirtschaftlichen Zusammenschlüsse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für Ernährung, Landwirtschaft, Forsten und Tourismus ist zuständig für</w:t>
      </w:r>
    </w:p>
    <w:p>
      <w:r>
        <w:t xml:space="preserve">1. den Vollzug des § 18 Abs. 1, §§ 19, 20, 22 Abs. 2 Nr. 4, § 23 Abs. 1 und 2, § 31 Abs. 2, § 32 Abs. 2, § 34 Abs. 1, § 36 Abs. 2, §§ 38, 39 Abs. 2 und 3 des Bundeswaldgesetzes (BWaldG),</w:t>
      </w:r>
    </w:p>
    <w:p>
      <w:r>
        <w:t xml:space="preserve">2. die Förderung der forstwirtschaftlichen Zusammenschlüsse auf Grund des § 41 BWaldG.</w:t>
      </w:r>
    </w:p>
    <w:p>
      <w:r>
        <w:t xml:space="preserve">(2) Das Staatsministerium für Ernährung, Landwirtschaft, Forsten und Tourismus wird ermächtigt, Zuständigkeiten nach Abs. 1 Nr. 1 durch Rechtsverordnung auf nachgeordnete Behörden zu übertragen.</w:t>
      </w:r>
    </w:p>
    <w:p>
      <w:r>
        <w:rPr>
          <w:color w:val="555555"/>
          <w:sz w:val="17"/>
        </w:rPr>
        <w:t xml:space="preserve">Zitiervorschlag: Art 40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