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BayWaldG (Bayern) — Bestätigung der Forstschutzbeauftragten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Bestätigung der Forstschutzbeauftragten obliegt der für den gewöhnlichen Aufenthalt des Bewerbers zuständigen Kreisverwaltungsbehörde.</w:t>
      </w:r>
    </w:p>
    <w:p>
      <w:r>
        <w:t xml:space="preserve">(2) Die Bestätigung setzt einen schriftlichen Antrag des Waldbesitzers voraus; sie darf nur volljährigen, zuverlässigen und geeigneten Personen erteilt werden. Die Bestätigung ist zu versagen, wenn Bedenken gegen die Zuverlässigkeit oder die Eignung zum Forstschutz bestehen.</w:t>
      </w:r>
    </w:p>
    <w:p>
      <w:r>
        <w:t xml:space="preserve">(3) Vor der Bestätigung ist die zuständige untere Forstbehörde zu hören. Das gleiche gilt, wenn die Bestätigung widerrufen werden soll.</w:t>
      </w:r>
    </w:p>
    <w:p>
      <w:r>
        <w:rPr>
          <w:color w:val="555555"/>
          <w:sz w:val="17"/>
        </w:rPr>
        <w:t xml:space="preserve">Zitiervorschlag: Art 36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