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BayWaldG (Bayern) — Rechte und Pflichten der Forstschutzbeauftragten</w:t>
      </w:r>
    </w:p>
    <w:p>
      <w:r>
        <w:rPr>
          <w:color w:val="555555"/>
          <w:sz w:val="18"/>
        </w:rPr>
        <w:t xml:space="preserve">Bayerisches Waldgesetz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Forstschutzbeauftragten haben bei der Ausübung des Forstschutzes die Rechte und Pflichten von Polizeibeamten.</w:t>
      </w:r>
    </w:p>
    <w:p>
      <w:r>
        <w:t xml:space="preserve">(2) Bei der Ausübung des Forstschutzes müssen die Forstschutzbeauftragten ein Dienstabzeichen tragen und einen Dienstausweis mit sich führen, der bei Vornahme einer Amtshandlung auf Verlangen vorzuzeigen ist.</w:t>
      </w:r>
    </w:p>
    <w:p>
      <w:r>
        <w:rPr>
          <w:color w:val="555555"/>
          <w:sz w:val="17"/>
        </w:rPr>
        <w:t xml:space="preserve">Zitiervorschlag: Art 35 BayWaldG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https://recht.nulegal.eu/gesetze/BayWaldG/35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