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34 BayWaldG (Bayern) — Zuständigkeit der Forstschutzbeauftragten</w:t>
      </w:r>
    </w:p>
    <w:p>
      <w:r>
        <w:rPr>
          <w:color w:val="555555"/>
          <w:sz w:val="18"/>
        </w:rPr>
        <w:t xml:space="preserve">Bayerisches Waldgesetz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Forstschutzbeauftragten der unteren Forstbehörden üben den Forstschutz in allen Wäldern des Amtsbezirks aus.</w:t>
      </w:r>
    </w:p>
    <w:p>
      <w:r>
        <w:t xml:space="preserve">(2) Die sonstigen Forstschutzbeauftragten üben den Forstschutz in den Wäldern ihres Dienstherrn oder des auftraggebenden Waldbesitzers aus.</w:t>
      </w:r>
    </w:p>
    <w:p>
      <w:r>
        <w:rPr>
          <w:color w:val="555555"/>
          <w:sz w:val="17"/>
        </w:rPr>
        <w:t xml:space="preserve">Zitiervorschlag: Art 34 BayWaldG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https://recht.nulegal.eu/gesetze/BayWaldG/34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