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BayWaldG (Bayern) — Aufgaben der Forstbehörden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Forstbehörden obliegen im Vollzug dieses Gesetzes</w:t>
      </w:r>
    </w:p>
    <w:p>
      <w:r>
        <w:t xml:space="preserve">1. die forstliche Fachplanung (Art. 5 und 6),</w:t>
      </w:r>
    </w:p>
    <w:p>
      <w:r>
        <w:t xml:space="preserve">2. die Einrichtung von Naturwaldreservaten (Art. 12a),</w:t>
      </w:r>
    </w:p>
    <w:p>
      <w:r>
        <w:t xml:space="preserve">3. die Durchführung von Aufforstungen aus Gründen des öffentlichen Wohls (Art. 16 Abs. 5),</w:t>
      </w:r>
    </w:p>
    <w:p>
      <w:r>
        <w:t xml:space="preserve">4. die durch Vertrag übernommene Betriebsleitung und Betriebsausführung im Körperschaftswald (Art. 19),</w:t>
      </w:r>
    </w:p>
    <w:p>
      <w:r>
        <w:t xml:space="preserve">5. die Erstellung der Forstwirtschaftspläne und Forstbetriebsgutachten im Körperschaftswald (Art. 19),</w:t>
      </w:r>
    </w:p>
    <w:p>
      <w:r>
        <w:t xml:space="preserve">6. die Förderung der Forstwirtschaft und ihrer Selbsthilfeeinrichtungen (Art. 19 bis 22),</w:t>
      </w:r>
    </w:p>
    <w:p>
      <w:r>
        <w:t xml:space="preserve">7. die Forstaufsicht (Art. 26), soweit nicht andere Behörden zuständig sind,</w:t>
      </w:r>
    </w:p>
    <w:p>
      <w:r>
        <w:t xml:space="preserve">8. Waldpädagogik als Bildungsauftrag,</w:t>
      </w:r>
    </w:p>
    <w:p>
      <w:r>
        <w:t xml:space="preserve">9. die Sanierung der Schutzwälder nach Art. 10 Abs. 1,</w:t>
      </w:r>
    </w:p>
    <w:p>
      <w:r>
        <w:t xml:space="preserve">10. Erhebungen zur Situation der Waldverjüngung und des Waldzustandes in regelmäßigen Abständen.</w:t>
      </w:r>
    </w:p>
    <w:p>
      <w:r>
        <w:t xml:space="preserve">(2) Die Forstbehörden werden bei der Erfüllung der Aufgaben von der Landesanstalt für Wald und Forstwirtschaft unterstützt.</w:t>
      </w:r>
    </w:p>
    <w:p>
      <w:r>
        <w:rPr>
          <w:color w:val="555555"/>
          <w:sz w:val="17"/>
        </w:rPr>
        <w:t xml:space="preserve">Zitiervorschlag: Art 28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