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BayWaldG (Bayern) — Forstbehörden</w:t>
      </w:r>
    </w:p>
    <w:p>
      <w:r>
        <w:rPr>
          <w:color w:val="555555"/>
          <w:sz w:val="18"/>
        </w:rPr>
        <w:t xml:space="preserve">Bayerisches Waldgesetz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Forstbehörden im Sinn dieses Gesetzes sind:</w:t>
      </w:r>
    </w:p>
    <w:p>
      <w:r>
        <w:t xml:space="preserve">1. das Staatsministerium für Ernährung, Landwirtschaft, Forsten und Tourismus als oberste Forstbehörde,</w:t>
      </w:r>
    </w:p>
    <w:p>
      <w:r>
        <w:t xml:space="preserve">2. die Ämter für Ernährung, Landwirtschaft und Forsten als untere Forstbehörden.</w:t>
      </w:r>
    </w:p>
    <w:p>
      <w:r>
        <w:t xml:space="preserve">(2) Für die forstfachliche Leitung der unteren Forstbehörden ist die Große Forstliche Staatsprüfung notwendig.</w:t>
      </w:r>
    </w:p>
    <w:p>
      <w:r>
        <w:rPr>
          <w:color w:val="555555"/>
          <w:sz w:val="17"/>
        </w:rPr>
        <w:t xml:space="preserve">Zitiervorschlag: Art 27 BayWaldG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https://recht.nulegal.eu/gesetze/BayWaldG/27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