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BayWaldG (Bayern) — Beihilfen für Waldbrandschäden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Waldbrandschäden soll Waldbesitzern, soweit diese von einem Dritten, insbesondere vom Schädiger, keinen Ersatz erlangen, eine Beihilfe gewährt werden. Sie soll 75 v.H. des entstandenen Schadens betragen.</w:t>
      </w:r>
    </w:p>
    <w:p>
      <w:r>
        <w:t xml:space="preserve">(2) Die Beihilfe kann versagt oder gekürzt werden, wenn der Berechtigte den Schaden verursacht oder es unterlassen hat, den Schaden abzuwenden oder zu mindern.</w:t>
      </w:r>
    </w:p>
    <w:p>
      <w:r>
        <w:t xml:space="preserve">(3) Die Beihilfe kann unter Auflagen und Bedingungen insbesondere für die rechtzeitige Wiederaufforstung und für die Verfolgung von Ansprüchen gegen Dritte gewährt werden. Die Gewährung der Beihilfe kann davon abhängig gemacht werden, dass der Berechtigte seine Ersatzansprüche gegen Dritte an den Staat abtritt. Die Abtretung der Ersatzansprüche kann nur bis zur Höhe der Beihilfe gefordert werden.</w:t>
      </w:r>
    </w:p>
    <w:p>
      <w:r>
        <w:rPr>
          <w:color w:val="555555"/>
          <w:sz w:val="17"/>
        </w:rPr>
        <w:t xml:space="preserve">Zitiervorschlag: Art 21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