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20 BayWaldG (Bayern) — Förderung</w:t>
      </w:r>
    </w:p>
    <w:p>
      <w:r>
        <w:rPr>
          <w:color w:val="555555"/>
          <w:sz w:val="18"/>
        </w:rPr>
        <w:t xml:space="preserve">Bayerisches Waldgesetz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Waldwirtschaft wird besonders nach diesem Gesetz und nach dem Bayerischen Agrarwirtschaftsgesetz gefördert; dies umfasst auch die Aus- und Fortbildung der privaten Waldbesitzer an der Bayerischen Waldbauernschule. Die Förderung nach anderen Vorschriften und Programmen bleibt unberührt.</w:t>
      </w:r>
    </w:p>
    <w:p>
      <w:r>
        <w:rPr>
          <w:color w:val="555555"/>
          <w:sz w:val="17"/>
        </w:rPr>
        <w:t xml:space="preserve">Zitiervorschlag: Art 20 BayWaldG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https://recht.nulegal.eu/gesetze/BayWaldG/20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