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BayWaldG (Bayern) — Wald</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Wald (Forst) im Sinn dieses Gesetzes ist jede mit Waldbäumen bestockte oder nach den Vorschriften dieses Gesetzes wiederaufzuforstende Fläche.</w:t>
      </w:r>
    </w:p>
    <w:p>
      <w:r>
        <w:t xml:space="preserve">(2) Bei Anwendung dieses Gesetzes stehen dem Wald gleich</w:t>
      </w:r>
    </w:p>
    <w:p>
      <w:r>
        <w:t xml:space="preserve">1. Waldwege, Waldeinteilungs- und Waldsicherungsstreifen, Waldblößen und Waldlichtungen,</w:t>
      </w:r>
    </w:p>
    <w:p>
      <w:r>
        <w:t xml:space="preserve">2. mit dem Wald räumlich zusammenhängende Pflanzgärten, Holzlagerplätze, Wildäsungsflächen und sonstige ihm dienende Flächen.</w:t>
      </w:r>
    </w:p>
    <w:p>
      <w:r>
        <w:t xml:space="preserve">(3) Bei Anwendung der Art. 17, 32 bis 36, 45 und 46 dieses Gesetzes stehen dem Wald außerdem gleich Alpenlichtungen, Gewässer, Moore, Heide- und Ödflächen, die mit dem Wald in einem natürlichen Zusammenhang stehen.</w:t>
      </w:r>
    </w:p>
    <w:p>
      <w:r>
        <w:t xml:space="preserve">(4) In Feld und Flur gelegene Christbaum- und Schmuckreisigkulturen, Kurzumtriebskulturen, Baumschulen und Flächen, die mit Baumgruppen, Baumreihen oder Hecken bestockt sind, sowie mit Waldbäumen bestockte Flächen in Friedhöfen sind nicht Wald im Sinn dieses Gesetzes. Dies gilt auch für im bebauten Gebiet gelegene, kleinere Flächen, die mit Waldbäumen bestockt sind.</w:t>
      </w:r>
    </w:p>
    <w:p>
      <w:r>
        <w:rPr>
          <w:color w:val="555555"/>
          <w:sz w:val="17"/>
        </w:rPr>
        <w:t xml:space="preserve">Zitiervorschlag: Art 2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