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13 BayWaldG (Bayern) — Betreten des Waldes</w:t>
      </w:r>
    </w:p>
    <w:p>
      <w:r>
        <w:rPr>
          <w:color w:val="555555"/>
          <w:sz w:val="18"/>
        </w:rPr>
        <w:t xml:space="preserve">Bayerisches Waldgesetz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Betreten des Waldes zum Zweck des Genusses der Naturschönheiten und zur Erholung ist jedermann unentgeltlich gestattet. Die Ausübung dieses Rechts wird nach Maßgabe des Bayerischen Naturschutzgesetzes (BayNatSchG) gewährleistet. Weitergehende Rechte auf Grund anderer Rechtsvorschriften bleiben unberührt.</w:t>
      </w:r>
    </w:p>
    <w:p>
      <w:r>
        <w:t xml:space="preserve">(2) Die Ausübung des Rechts nach Abs. 1 erfolgt grundsätzlich auf eigene Gefahr. Vorbehaltlich anderer Rechtsvorschriften werden dadurch besondere Sorgfalts- oder Verkehrssicherungspflichten der betroffenen Grundeigentümer oder sonstiger Berechtigter nicht begründet.</w:t>
      </w:r>
    </w:p>
    <w:p>
      <w:r>
        <w:t xml:space="preserve">(3) Das Radfahren, das Fahren mit Krankenfahrstühlen und das Reiten ist im Wald nur auf Straßen und geeigneten Wegen zulässig. Die Vorschriften des Straßen- und Wegerechts und des Straßenverkehrsrechts bleiben unberührt.</w:t>
      </w:r>
    </w:p>
    <w:p>
      <w:r>
        <w:rPr>
          <w:color w:val="555555"/>
          <w:sz w:val="17"/>
        </w:rPr>
        <w:t xml:space="preserve">Zitiervorschlag: Art 13 BayWaldG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https://recht.nulegal.eu/gesetze/BayWaldG/13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