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BayWaldG (Bayern) — Bannwald</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Wald, der auf Grund seiner Lage und seiner flächenmäßigen Ausdehnung vor allem in Verdichtungsräumen und waldarmen Bereichen unersetzlich ist und deshalb in seiner Flächensubstanz erhalten werden muss und welchem eine außergewöhnliche Bedeutung für das Klima, den Wasserhaushalt oder für die Luftreinigung zukommt, soll durch Rechtsverordnung zu Bannwald erklärt werden.</w:t>
      </w:r>
    </w:p>
    <w:p>
      <w:r>
        <w:t xml:space="preserve">(2) Zu Bannwald kann durch Rechtsverordnung ferner Wald erklärt werden, der in besonderem Maß dem Schutz vor Immissionen dient.</w:t>
      </w:r>
    </w:p>
    <w:p>
      <w:r>
        <w:rPr>
          <w:color w:val="555555"/>
          <w:sz w:val="17"/>
        </w:rPr>
        <w:t xml:space="preserve">Zitiervorschlag: Art 11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