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BayWaSchainvV (Bayern) — Inkrafttreten</w:t>
      </w:r>
    </w:p>
    <w:p>
      <w:r>
        <w:rPr>
          <w:color w:val="555555"/>
          <w:sz w:val="18"/>
        </w:rPr>
        <w:t xml:space="preserve">Verordnung über die Durchführung der Waldschadensinventur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Juli 1984 in Kraft.</w:t>
      </w:r>
    </w:p>
    <w:p>
      <w:r>
        <w:rPr>
          <w:color w:val="555555"/>
          <w:sz w:val="17"/>
        </w:rPr>
        <w:t xml:space="preserve">Zitiervorschlag: § 5 BayWaSchainvV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https://recht.nulegal.eu/gesetze/BayWaSchainvV/5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