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BayWaSchainvV (Bayern) — Zweck der Waldschadensinventur</w:t>
      </w:r>
    </w:p>
    <w:p>
      <w:r>
        <w:rPr>
          <w:color w:val="555555"/>
          <w:sz w:val="18"/>
        </w:rPr>
        <w:t xml:space="preserve">Verordnung über die Durchführung der Waldschadensinventur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Zweck der Waldschadensinventur ist eine den Staats-, Körperschafts- und Privatwald in Bayern umfassende, bei Bedarf zu wiederholende Erhebung über Art und Ausmaß eingetretener Schäden am Waldbestand.</w:t>
      </w:r>
    </w:p>
    <w:p>
      <w:r>
        <w:t xml:space="preserve">(2) Die Waldschadensinventur wird auf der Grundlage eines repräsentativen Stichprobenverfahrens durchgeführt. Sie bezieht sich nicht auf Einzelbetriebe.</w:t>
      </w:r>
    </w:p>
    <w:p>
      <w:r>
        <w:rPr>
          <w:color w:val="555555"/>
          <w:sz w:val="17"/>
        </w:rPr>
        <w:t xml:space="preserve">Zitiervorschlag: § 1 BayWaSchainvV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https://recht.nulegal.eu/gesetze/BayWaSchainvV/1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