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BayWHopfV (Bayern) — Inkrafttreten</w:t>
      </w:r>
    </w:p>
    <w:p>
      <w:r>
        <w:rPr>
          <w:color w:val="555555"/>
          <w:sz w:val="18"/>
        </w:rPr>
        <w:t xml:space="preserve">Wildhopfenverordnung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Dezember 1956 in Kraft.</w:t>
      </w:r>
    </w:p>
    <w:p>
      <w:r>
        <w:t xml:space="preserve">[Amtl. Anm.:] Betrifft die ursprüngliche Fassung vom 21. November 1956 (Nr. 26 des Gesetz- und Verordnungsblattes vom 3. Dezember 1956, S. 278)</w:t>
      </w:r>
    </w:p>
    <w:p>
      <w:r>
        <w:rPr>
          <w:color w:val="555555"/>
          <w:sz w:val="17"/>
        </w:rPr>
        <w:t xml:space="preserve">Zitiervorschlag: § 5 BayWHopfV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https://recht.nulegal.eu/gesetze/BayWHopfV/5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