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99 BayWG (Bayern) — Einschränkung von Grundrechten</w:t>
      </w:r>
    </w:p>
    <w:p>
      <w:r>
        <w:rPr>
          <w:color w:val="555555"/>
          <w:sz w:val="18"/>
        </w:rPr>
        <w:t xml:space="preserve">Bayerisches Wassergesetz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dieses Gesetzes kann das Grundrecht auf Unverletzlichkeit der Wohnung (Art. 13 des Grundgesetzes und Art. 106 Abs. 3 der Verfassung) und das Grundrecht auf Eigentum (Art. 14 des Grundgesetzes, Art. 103 der Verfassung) eingeschränkt werden.</w:t>
      </w:r>
    </w:p>
    <w:p>
      <w:r>
        <w:rPr>
          <w:color w:val="555555"/>
          <w:sz w:val="17"/>
        </w:rPr>
        <w:t xml:space="preserve">Zitiervorschlag: Art 99 BayWG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https://recht.nulegal.eu/gesetze/BayWG/99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