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98 BayWG (Bayern) — Alte Rechte und alte Befugnisse (Zu § 20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Fällen des § 20 Abs. 1 ist eine Erlaubnis oder Bewilligung nicht erforderlich, wenn bis spätestens 1. März 1965 rechtmäßige Anlagen für die Wasserbenutzung vorhanden waren. Als Recht im Sinn dieses Gesetzes gilt auch die Rechtsstellung nach Art. 207 des Wassergesetzes vom 23. März 1907.</w:t>
      </w:r>
    </w:p>
    <w:p>
      <w:r>
        <w:t xml:space="preserve">(2) Außer in den Fällen des § 20 Abs. 1 und 2 WHG bedürfen keiner Erlaubnis oder Bewilligung Gewässerbenutzungen im Sinn des § 9 WHG, die auf Grund eines förmlichen Verfahrens nach den bisher geltenden Vorschriften, insbesondere nach Maßgabe der Art. 19, 37 bis 39, 42 und 45 bis 47 des Wassergesetzes vom 23. März 1907 zugelassen worden sind.</w:t>
      </w:r>
    </w:p>
    <w:p>
      <w:r>
        <w:rPr>
          <w:color w:val="555555"/>
          <w:sz w:val="17"/>
        </w:rPr>
        <w:t xml:space="preserve">Zitiervorschlag: Art 98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https://recht.nulegal.eu/gesetze/BayWG/98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