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97 BayWG (Bayern) — Ordnungswidrigkeiten</w:t>
      </w:r>
    </w:p>
    <w:p>
      <w:r>
        <w:rPr>
          <w:color w:val="555555"/>
          <w:sz w:val="18"/>
        </w:rPr>
        <w:t xml:space="preserve">Bayerisches Wassergesetz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Mit Geldbuße bis zu fünftausend Euro kann belegt werden, wer vorsätzlich oder fahrlässig</w:t>
      </w:r>
    </w:p>
    <w:p>
      <w:r>
        <w:t xml:space="preserve">1. zur Bestimmung der Uferlinie angebrachte Zeichen (Art. 12 Abs. 2), ferner eingebaute Festpunkte, aufgestellte Flusseinteilungszeichen und andere Messeinrichtungen (Art. 62 Abs. 1) entfernt, abändert oder beschädigt,</w:t>
      </w:r>
    </w:p>
    <w:p>
      <w:r>
        <w:t xml:space="preserve">2. entgegen Art. 28 Abs. 4 die Schiff- und Floßfahrt ausübt oder entgegen Art. 28 Abs. 5 Wasserfahrzeuge an oder in Gewässern für die Ausübung des Gemeingebrauchs durch Dritte bereithält,</w:t>
      </w:r>
    </w:p>
    <w:p>
      <w:r>
        <w:t xml:space="preserve">3. entgegen Art. 20 Abs. 1, auch in Verbindung mit einer Rechtsverordnung nach Art. 20 Abs. 2, Anlagen errichtet, wesentlich verändert oder stilllegt,</w:t>
      </w:r>
    </w:p>
    <w:p>
      <w:r>
        <w:t xml:space="preserve">4. entgegen Art. 35 Abs. 1 Anlagen oder Einrichtungen aufstellt, betreibt, erweitert oder wesentlich ändert,</w:t>
      </w:r>
    </w:p>
    <w:p>
      <w:r>
        <w:t xml:space="preserve">5. einer Rechtsverordnung</w:t>
      </w:r>
    </w:p>
    <w:p>
      <w:r>
        <w:t xml:space="preserve">a) zur Regelung des Gemeingebrauchs (Art. 18 Abs. 3),</w:t>
      </w:r>
    </w:p>
    <w:p>
      <w:r>
        <w:t xml:space="preserve">b) zur Sicherung der Unterhaltung der Gewässer Dritter Ordnung (Art. 24 Abs. 3),</w:t>
      </w:r>
    </w:p>
    <w:p>
      <w:r>
        <w:t xml:space="preserve">c) über die Ausübung der Schiff- und Floßfahrt (Art. 28 Abs. 6),</w:t>
      </w:r>
    </w:p>
    <w:p>
      <w:r>
        <w:t xml:space="preserve">d) über die Benutzung von Hafen- und Ländeanlagen und das Verhalten im Hafen und Ländebereich (Art. 36),</w:t>
      </w:r>
    </w:p>
    <w:p>
      <w:r>
        <w:t xml:space="preserve">e) zur Festsetzung eines Überschwemmungsgebiets (Art. 46 Abs. 3 in Verbindung mit § 78a Abs. 5 WHG),</w:t>
      </w:r>
    </w:p>
    <w:p>
      <w:r>
        <w:t xml:space="preserve">f) über den Hochwassernachrichtendienst (Art. 48)</w:t>
      </w:r>
    </w:p>
    <w:p>
      <w:r>
        <w:t xml:space="preserve">zuwiderhandelt, wenn die Rechtsverordnung für einen bestimmten Tatbestand auf diese Bußgeldvorschrift verweist,</w:t>
      </w:r>
    </w:p>
    <w:p>
      <w:r>
        <w:t xml:space="preserve">6. entgegen Art. 30 Abs. 1 Satz 1, 2 und 3 eine Anzeige nicht, nicht richtig oder nicht vollständig erstattet,</w:t>
      </w:r>
    </w:p>
    <w:p>
      <w:r>
        <w:t xml:space="preserve">7. einer vollziehbaren Anordnung auf Grund einer Rechtsverordnung nach Art. 48 zuwiderhandelt, soweit die Rechtsverordnung für einen bestimmten Tatbestand auf diese Bußgeldvorschrift verweist,</w:t>
      </w:r>
    </w:p>
    <w:p>
      <w:r>
        <w:t xml:space="preserve">8. einer vollziehbaren Anordnung</w:t>
      </w:r>
    </w:p>
    <w:p>
      <w:r>
        <w:t xml:space="preserve">a) über die Hochwasserrückhaltung oder Niedrigwasseraufhöhung (Art. 49 Abs. 2 Satz 2),</w:t>
      </w:r>
    </w:p>
    <w:p>
      <w:r>
        <w:t xml:space="preserve">b) zur vorläufigen Regelung eines Zustands (Art. 71 Abs. 1 Satz 1) oder zur Beweissicherung (Art. 71 Abs. 2)</w:t>
      </w:r>
    </w:p>
    <w:p>
      <w:r>
        <w:t xml:space="preserve">zuwiderhandelt,</w:t>
      </w:r>
    </w:p>
    <w:p>
      <w:r>
        <w:t xml:space="preserve">9. entgegen Art. 60 Abs. 1 Satz 1 oder Art. 60a Abs. 1 Satz 1 private Sachverständige nicht beauftragt oder entgegen Art. 60 Abs. 2 oder Art. 60a Abs. 1 Satz 3 in Verbindung mit Art. 60 Abs. 2 Mängel nicht beseitigt.</w:t>
      </w:r>
    </w:p>
    <w:p>
      <w:r>
        <w:t xml:space="preserve">(2) Mit Geldbuße bis zu fünfzigtausend Euro kann belegt werden, wer vorsätzlich oder fahrlässig</w:t>
      </w:r>
    </w:p>
    <w:p>
      <w:r>
        <w:t xml:space="preserve">1. einer Rechtsverordnung nach § 50 Abs. 5 WHG, § 51 Abs. 1 WHG, § 53 Abs. 4 WHG oder einer vollziehbaren Anordnung auf Grund einer solchen Rechtsverordnung zuwiderhandelt, soweit die Rechtsverordnung für einen bestimmten Tatbestand auf diese Bußgeldvorschrift verweist,</w:t>
      </w:r>
    </w:p>
    <w:p>
      <w:r>
        <w:t xml:space="preserve">2. einer vollziehbaren Anordnung</w:t>
      </w:r>
    </w:p>
    <w:p>
      <w:r>
        <w:t xml:space="preserve">a) zur Regelung des Gemeingebrauchs (Art. 18 Abs. 3),</w:t>
      </w:r>
    </w:p>
    <w:p>
      <w:r>
        <w:t xml:space="preserve">b) zum Hochwasserschutz (Art. 46 Abs. 5 und 6),</w:t>
      </w:r>
    </w:p>
    <w:p>
      <w:r>
        <w:t xml:space="preserve">c) zur Sanierung von Gewässerverunreinigungen (Art. 55 Abs. 2 Satz 1 und 2),</w:t>
      </w:r>
    </w:p>
    <w:p>
      <w:r>
        <w:t xml:space="preserve">d) zur Gewässeraufsicht (Art. 58 Abs. 1 Satz 2),</w:t>
      </w:r>
    </w:p>
    <w:p>
      <w:r>
        <w:t xml:space="preserve">e) zur abwasserabgabenrechtlichen Anordnung (Art. 58 Abs. 3)</w:t>
      </w:r>
    </w:p>
    <w:p>
      <w:r>
        <w:t xml:space="preserve">zuwiderhandelt.</w:t>
      </w:r>
    </w:p>
    <w:p>
      <w:r>
        <w:rPr>
          <w:color w:val="555555"/>
          <w:sz w:val="17"/>
        </w:rPr>
        <w:t xml:space="preserve">Zitiervorschlag: Art 97 BayWG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https://recht.nulegal.eu/gesetze/BayWG/97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