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96 BayWG (Bayern) — Anwendung von Straf- und Bußgeldvorschriften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Hinterziehung von Wassernutzungsgebühren oder Wasserentnahmeentgelten gelten die Strafvorschriften des § 370 Abs. 1, 2 und 4, des § 371 und des § 376 AO entsprechend.</w:t>
      </w:r>
    </w:p>
    <w:p>
      <w:r>
        <w:t xml:space="preserve">(2) Für die Verkürzung von Wassernutzungsgebühren oder Wasserentnahmeentgelten gilt die Bußgeldvorschrift des § 378 AO entsprechend.</w:t>
      </w:r>
    </w:p>
    <w:p>
      <w:r>
        <w:t xml:space="preserve">(3) Bei der Anwendung der in den Abs. 1 und 2 bezeichneten Vorschriften tritt jeweils an Stelle</w:t>
      </w:r>
    </w:p>
    <w:p>
      <w:r>
        <w:t xml:space="preserve">1. der Finanzbehörden die Kreisverwaltungsbehörde und</w:t>
      </w:r>
    </w:p>
    <w:p>
      <w:r>
        <w:t xml:space="preserve">2. der Angabe „Steuer(n)“ – allein oder in Wortzusammensetzungen – bei der Wassernutzungsgebühr die Angabe „Gebühr(en)“ und bei dem Wasserentnahmeentgelt die Angabe „Entgelt(e)“.</w:t>
      </w:r>
    </w:p>
    <w:p>
      <w:r>
        <w:rPr>
          <w:color w:val="555555"/>
          <w:sz w:val="17"/>
        </w:rPr>
        <w:t xml:space="preserve">Zitiervorschlag: Art 96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https://recht.nulegal.eu/gesetze/BayWG/96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