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94 BayWG (Bayern) — Festsetzungsverfahren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folgenden Bestimmungen der Abgabenordnung sind in ihrer jeweils geltenden Fassung für das jeweilige Festsetzungsverfahren für das Wasserentnahmeentgelt oder die Abwasserabgabe entsprechend anzuwenden:</w:t>
      </w:r>
    </w:p>
    <w:p>
      <w:r>
        <w:t xml:space="preserve">1. aus dem Ersten Teil – Einleitende Vorschriften –</w:t>
      </w:r>
    </w:p>
    <w:p>
      <w:r>
        <w:t xml:space="preserve">a) über die steuerlichen Begriffsbestimmungen: § 3 Abs. 4 sowie die §§ 4, 5 und 7 bis 15 AO,</w:t>
      </w:r>
    </w:p>
    <w:p>
      <w:r>
        <w:t xml:space="preserve">b) über die Haftungsbeschränkung für Amtsträger: § 32 AO,</w:t>
      </w:r>
    </w:p>
    <w:p>
      <w:r>
        <w:t xml:space="preserve">2. aus dem Zweiten Teil – Steuerschuldrecht –</w:t>
      </w:r>
    </w:p>
    <w:p>
      <w:r>
        <w:t xml:space="preserve">a) über die Steuerpflichtigen: die §§ 33 bis 36 AO,</w:t>
      </w:r>
    </w:p>
    <w:p>
      <w:r>
        <w:t xml:space="preserve">b) über das Steuerschuldverhältnis: die §§ 37, 42, 44 bis 49 AO,</w:t>
      </w:r>
    </w:p>
    <w:p>
      <w:r>
        <w:t xml:space="preserve">c) über die Haftung: die §§ 69 bis 71, 73 bis 75 und 77 AO,</w:t>
      </w:r>
    </w:p>
    <w:p>
      <w:r>
        <w:t xml:space="preserve">3. aus dem Dritten Teil – Allgemeine Verfahrensvorschriften –</w:t>
      </w:r>
    </w:p>
    <w:p>
      <w:r>
        <w:t xml:space="preserve">a) über die Beweismittel: § 92 AO,</w:t>
      </w:r>
    </w:p>
    <w:p>
      <w:r>
        <w:t xml:space="preserve">b) über den Beweis durch Auskünfte und Sachverständigengutachten: die §§ 93, 94, 95 Abs. 1 Satz 1 und § 96 AO,</w:t>
      </w:r>
    </w:p>
    <w:p>
      <w:r>
        <w:t xml:space="preserve">c) über den Beweis durch Urkunden und Augenschein: die §§ 98 und 99 AO,</w:t>
      </w:r>
    </w:p>
    <w:p>
      <w:r>
        <w:t xml:space="preserve">d) über die Auskunfts- und Vorlageverweigerungsrechte: die §§ 101 bis 106 AO,</w:t>
      </w:r>
    </w:p>
    <w:p>
      <w:r>
        <w:t xml:space="preserve">4. aus dem Vierten Teil – Durchführung der Besteuerung –</w:t>
      </w:r>
    </w:p>
    <w:p>
      <w:r>
        <w:t xml:space="preserve">a) über die Steuererklärung: die §§ 152 und 153 AO,</w:t>
      </w:r>
    </w:p>
    <w:p>
      <w:r>
        <w:t xml:space="preserve">b) über die Steuerfestsetzung: § 155 Abs. 3 und 4, § 156 Abs. 2, § 157 Abs. 2 sowie die §§ 163 bis 166 AO,</w:t>
      </w:r>
    </w:p>
    <w:p>
      <w:r>
        <w:t xml:space="preserve">c) über die Festsetzungsverjährung: die §§ 169 bis 171 AO mit der Maßgabe, dass in § 171 Abs. 3a Satz 3 AO an Stelle der Bezugnahme „§ 100 Absatz 1 Satz 1, Absatz 2 Satz 2, Absatz 3 Satz 1, § 101 der Finanzgerichtsordnung“ die Bezugnahme „§ 113 Abs. 1 Satz 1 und Abs. 4 der Verwaltungsgerichtsordnung“ tritt, sowie § 174 Abs. 1 bis 3 AO und</w:t>
      </w:r>
    </w:p>
    <w:p>
      <w:r>
        <w:t xml:space="preserve">d) über die Haftung: die §§ 191 und 192 AO.</w:t>
      </w:r>
    </w:p>
    <w:p>
      <w:r>
        <w:t xml:space="preserve">(2) Unbeschadet einer vorherigen Festsetzungsverjährung erlöschen Ansprüche nach Art. 90 Abs. 1 und § 10 Abs. 3 und 4 AbwAG ein Jahr nach dem Tag der tatsächlichen Inbetriebnahme, wenn sie nicht zuvor gemäß Art. 91 Abs. 4 gegenüber der zuständigen Behörde geltend gemacht werden.</w:t>
      </w:r>
    </w:p>
    <w:p>
      <w:r>
        <w:t xml:space="preserve">(3) Bei der Anwendung der in Abs. 1 bezeichneten Vorschriften tritt jeweils an Stelle</w:t>
      </w:r>
    </w:p>
    <w:p>
      <w:r>
        <w:t xml:space="preserve">1. der Finanzbehörde oder des Finanzamts die Kreisverwaltungsbehörde,</w:t>
      </w:r>
    </w:p>
    <w:p>
      <w:r>
        <w:t xml:space="preserve">2. der Angabe „der obersten Finanzbehörde der Körperschaft, die die Steuer verwaltet“ die Angabe „dem Staatsministerium“,</w:t>
      </w:r>
    </w:p>
    <w:p>
      <w:r>
        <w:t xml:space="preserve">3. der Angabe „Steuer(n)“ – allein oder in Wortzusammensetzungen – bei dem Wasserentnahmeentgelt die Angabe „Entgelt(e)“ und bei der Abwasserabgabe die Angabe „Abgabe(n)“,</w:t>
      </w:r>
    </w:p>
    <w:p>
      <w:r>
        <w:t xml:space="preserve">4. der Angabe „Besteuerung“ bei dem Wasserentnahmeentgelt die Angabe „Heranziehung zu Entgelten“ und bei der Abwasserabgabe die Angabe „Heranziehung zu Abgaben“,</w:t>
      </w:r>
    </w:p>
    <w:p>
      <w:r>
        <w:t xml:space="preserve">5. des Finanzgerichts das Verwaltungsgericht und</w:t>
      </w:r>
    </w:p>
    <w:p>
      <w:r>
        <w:t xml:space="preserve">6. der Angabe „§ 10 des Verwaltungszustellungsgesetzes“ die Angabe „Art. 15 des Bayerischen Verwaltungszustellungs- und Vollstreckungsgesetzes“.</w:t>
      </w:r>
    </w:p>
    <w:p>
      <w:r>
        <w:rPr>
          <w:color w:val="555555"/>
          <w:sz w:val="17"/>
        </w:rPr>
        <w:t xml:space="preserve">Zitiervorschlag: Art 94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https://recht.nulegal.eu/gesetze/BayWG/94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