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76 BayWG (Bayern) — Festsetzung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Nutzungsgebühr und die Zinsen nach Art. 95 Abs. 1 Nr. 4 bis 6 werden von der Behörde festgesetzt, die für die Zulassung der gebührenpflichtigen Nutzung zuständig ist.</w:t>
      </w:r>
    </w:p>
    <w:p>
      <w:r>
        <w:t xml:space="preserve">(2) Wird der Gebührenbescheid gleichzeitig mit dem Erlaubnis- oder Bewilligungsbescheid erlassen, so soll er mit diesem verbunden werden.</w:t>
      </w:r>
    </w:p>
    <w:p>
      <w:r>
        <w:rPr>
          <w:color w:val="555555"/>
          <w:sz w:val="17"/>
        </w:rPr>
        <w:t xml:space="preserve">Zitiervorschlag: Art 76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https://recht.nulegal.eu/gesetze/BayWG/76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