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 BayWG (Bayern) — Vorläufige Anordnung, Beweissicherung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Aus Gründen des Wohls der Allgemeinheit kann die Verwaltungsbehörde im Vollzug des Wasserhaushaltsgesetzes und dieses Gesetzes die dem augenblicklichen Erfordernis entsprechenden vorläufigen Anordnungen treffen. Diese sind zu befristen.</w:t>
      </w:r>
    </w:p>
    <w:p>
      <w:r>
        <w:t xml:space="preserve">(2) Zur Feststellung von Tatsachen, die für eine nach dem Wasserhaushaltsgesetz oder diesem Gesetz zu treffende Entscheidung von Bedeutung sein können, kann die Verwaltungsbehörde das Erforderliche anordnen, wenn sonst die Feststellung unmöglich oder wesentlich erschwert würde.</w:t>
      </w:r>
    </w:p>
    <w:p>
      <w:r>
        <w:rPr>
          <w:color w:val="555555"/>
          <w:sz w:val="17"/>
        </w:rPr>
        <w:t xml:space="preserve">Zitiervorschlag: Art 71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