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BayWG (Bayern) — Private Sachverständige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ermächtigt, durch Rechtsverordnung die Aufgaben und die Anerkennung von privaten Sachverständigen in der Wasserwirtschaft zu regeln. In der Rechtsverordnung können insbesondere geregelt werden</w:t>
      </w:r>
    </w:p>
    <w:p>
      <w:r>
        <w:t xml:space="preserve">1. die Übertragung von fachlichen Aufgaben im Vollzug des Wasserhaushaltsgesetzes, dieses Gesetzes, der auf Grund dieser Gesetze erlassenen Rechtsverordnungen sowie der für wasserwirtschaftliche Zwecke erlassenen Zuwendungsrichtlinien auf private Sachverständige,</w:t>
      </w:r>
    </w:p>
    <w:p>
      <w:r>
        <w:t xml:space="preserve">2. die Anerkennungsvoraussetzungen und das Anerkennungsverfahren,</w:t>
      </w:r>
    </w:p>
    <w:p>
      <w:r>
        <w:t xml:space="preserve">3. Erlöschen, Rücknahme und Widerruf der Anerkennung,</w:t>
      </w:r>
    </w:p>
    <w:p>
      <w:r>
        <w:t xml:space="preserve">4. die Aufgabenerledigung und</w:t>
      </w:r>
    </w:p>
    <w:p>
      <w:r>
        <w:t xml:space="preserve">5. die Entgelte für die Leistungen der privaten Sachverständigen.</w:t>
      </w:r>
    </w:p>
    <w:p>
      <w:r>
        <w:rPr>
          <w:color w:val="555555"/>
          <w:sz w:val="17"/>
        </w:rPr>
        <w:t xml:space="preserve">Zitiervorschlag: Art 65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