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BayWG (Bayern) — Eigentum an Gewässern, die kein selbstständiges Grundstück bilden (Zu § 4 Abs. 5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Bildet ein fließendes Gewässer kein selbstständiges Grundstück, so ist es Bestandteil der Ufergrundstücke.</w:t>
      </w:r>
    </w:p>
    <w:p>
      <w:r>
        <w:t xml:space="preserve">(2) Gehören die Ufer verschiedenen Eigentümern, so ist vorbehaltlich abweichender privatrechtlicher Regelung Eigentumsgrenze:</w:t>
      </w:r>
    </w:p>
    <w:p>
      <w:r>
        <w:t xml:space="preserve">1. für gegenüberliegende Ufergrundstücke eine durch die Mitte des Gewässers bei Mittelwasserstand zu ziehende Linie,</w:t>
      </w:r>
    </w:p>
    <w:p>
      <w:r>
        <w:t xml:space="preserve">2. für nebeneinander liegende Ufergrundstücke eine von dem Endpunkt der Landgrenze rechtwinklig zu der in Nr. 1 bezeichneten Mittellinie zu ziehende Linie.</w:t>
      </w:r>
    </w:p>
    <w:p>
      <w:r>
        <w:rPr>
          <w:color w:val="555555"/>
          <w:sz w:val="17"/>
        </w:rPr>
        <w:t xml:space="preserve">Zitiervorschlag: Art 6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