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BayWG (Bayern) — Maßnahmenprogramme und Bewirtschaftungspläne</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Teilbereiche einer Flussgebietseinheit, die sich im Freistaat Bayern befinden, werden Beiträge zu den Bewirtschaftungsplänen und Maßnahmenprogrammen für die Flussgebietseinheit erstellt und diese mit den übrigen an der Flussgebietseinheit beteiligten Ländern koordiniert. Bei Flussgebietseinheiten, die auch im Hoheitsgebiet anderer Mitgliedstaaten der Europäischen Union liegen, werden die Bewirtschaftungspläne und die Maßnahmenprogramme mit den zuständigen Behörden dieser Staaten koordiniert. Bei Flussgebietseinheiten, die auch in Staaten liegen, die nicht Mitglied der Europäischen Union sind, koordiniert das Staatsministerium Bewirtschaftungspläne und Maßnahmenprogramme mit den Behörden dieser Staaten. Die Koordinierung erfolgt im Benehmen und, soweit auch Verwaltungskompetenzen des Bundes berührt sind, im Einvernehmen mit den zuständigen Bundesbehörden. In den Fällen der Sätze 2 und 3 ist das Einvernehmen der zuständigen Bundesbehörden auch erforderlich, soweit die Pflege der Beziehungen zu auswärtigen Staaten nach Art. 32 des Grundgesetzes berührt ist. Das Staatsministerium wird ermächtigt, durch Verwaltungsabkommen mit den nach den Sätzen 1 bis 5 Beteiligten Einzelheiten der Koordinierung zu regeln.</w:t>
      </w:r>
    </w:p>
    <w:p>
      <w:r>
        <w:t xml:space="preserve">(2) Die Bewirtschaftungspläne oder deren Teile, die sich auf die im Freistaat Bayern liegenden Gebiete einer Flussgebietseinheit beziehen, sowie die entsprechenden Maßnahmenprogramme werden vom Staatsministerium im Bayerischen Ministerialblatt veröffentlicht. Sie sind mit der Veröffentlichung für alle staatlichen Behörden verbindlich.</w:t>
      </w:r>
    </w:p>
    <w:p>
      <w:r>
        <w:t xml:space="preserve">(3) Zuständige Behörde im Vollzug des § 83 Abs. 4 WHG ist die Regierung.</w:t>
      </w:r>
    </w:p>
    <w:p>
      <w:r>
        <w:t xml:space="preserve">(4) Zuständige Behörde im Vollzug des § 85 WHG ist das Staatsministerium unter Mitwirkung der Regierungen als höhere Wasserbehörde sowie der nachgeordneten Fachbehörden.</w:t>
      </w:r>
    </w:p>
    <w:p>
      <w:r>
        <w:rPr>
          <w:color w:val="555555"/>
          <w:sz w:val="17"/>
        </w:rPr>
        <w:t xml:space="preserve">Zitiervorschlag: Art 51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