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BayWG (Bayern) — Verpflichtungen der Gemeinden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zur Abwendung von Wasser-, Eis- und Murgefahr unaufschiebbare Vorkehrungen notwendig, so sind die benachbarten Gemeinden nach ihren Möglichkeiten und auf ihre Kosten zur Unterstützung der bedrohten Gemeinde verpflichtet. Sie haben insbesondere nach Bedarf Hilfskräfte, Materialien, Werkzeuge, Geräte und Fahrzeuge zur Verfügung zu stellen.</w:t>
      </w:r>
    </w:p>
    <w:p>
      <w:r>
        <w:t xml:space="preserve">(2) Gemeinden, die erfahrungsgemäß von Überschwemmungen oder Muren bedroht sind, haben dafür zu sorgen, dass ein Wach- und Hilfsdienst für Wassergefahr (Wasserwehr, Dammwehr, Murenabwehr) eingerichtet wird; sie haben die dafür erforderlichen Hilfsmittel (Abs. 1 Satz 2) bereitzuhalten.</w:t>
      </w:r>
    </w:p>
    <w:p>
      <w:r>
        <w:rPr>
          <w:color w:val="555555"/>
          <w:sz w:val="17"/>
        </w:rPr>
        <w:t xml:space="preserve">Zitiervorschlag: Art 50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