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BayWG (Bayern) — Verpflichtungen der Anlieger und der Unternehmer von Wasserbenutzungsanlagen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Anlieger haben, soweit es zur Bekämpfung von Wasser-, Eis- und Murgefahr erforderlich ist, einen Uferstreifen von allen Hindernissen freizuhalten, die das Begehen und, an Gewässern erster und zweiter Ordnung sowie an Wildbächen, auch das Befahren der Anliegergrundstücke wesentlich erschweren oder unmöglich machen. Die Kreisverwaltungsbehörde kann verlangen, dass die Anlieger solche Hindernisse beseitigen. Eingriffe, die das Landschaftsbild verunstalten oder gefährden würden, dürfen nur angeordnet werden, soweit es die Abwehr von Wasser-, Eis- und Murgefahr zwingend erfordert.</w:t>
      </w:r>
    </w:p>
    <w:p>
      <w:r>
        <w:t xml:space="preserve">(2) Soweit es die Abwehr von Wassergefahr erfordert, sind die Unternehmer von Wasserbenutzungsanlagen verpflichtet, ihre Anlagen einschließlich der Nachrichtenmittel für eine Hochwasserrückhaltung oder eine Niedrigwasseraufhöhung einzusetzen. Die Anordnungen über Beginn, Ausmaß und Durchführung der Maßnahmen und über den Nachrichtendienst erlässt das Staatsministerium.</w:t>
      </w:r>
    </w:p>
    <w:p>
      <w:r>
        <w:rPr>
          <w:color w:val="555555"/>
          <w:sz w:val="17"/>
        </w:rPr>
        <w:t xml:space="preserve">Zitiervorschlag: Art 49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