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BayWG (Bayern) — Überschwemmungsgebiete an oberirdischen Gewässern (Zu § 76, abweichend von § 78 Abs. 5 Satz 1 Nr. 1 Buchst. a und § 78a Abs. 1 Satz 1 Nr. 7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Überschwemmungsgebiete im Sinn des § 76 Abs. 1 WHG sind von den wasserwirtschaftlichen Fachbehörden zu ermitteln und fortzuschreiben, auf Karten darzustellen und in den jeweiligen Gebieten von den Kreisverwaltungsbehörden zur Information der Öffentlichkeit ortsüblich bekannt zu machen; Art. 47 bleibt unberührt. Gleiches gilt für Wildbachgefährdungsbereiche. An Gewässern dritter Ordnung können auch die Gemeinden im Benehmen mit dem Wasserwirtschaftsamt die Überschwemmungsgebiete ermitteln, fortschreiben, auf Karten darstellen und den Kreisverwaltungsbehörden zum Zwecke der Information der Öffentlichkeit, der vorläufigen Sicherung oder der Festsetzung übermitteln. Die Wasserwirtschaftsämter stellen den Gemeinden hierzu geeignete, bei ihnen vorhandene Daten zur Verfügung.</w:t>
      </w:r>
    </w:p>
    <w:p>
      <w:r>
        <w:t xml:space="preserve">(2) Für die Ermittlung ist ein Hochwasserereignis zugrunde zu legen, das statistisch einmal in 100 Jahren zu erwarten ist (Bemessungshochwasser); für die Ermittlung des vom Bemessungshochwasser betroffenen Überschwemmungsgebiets kann, soweit eine genauere Ermittlung nicht oder nur mit unverhältnismäßigem Aufwand möglich wäre, der Flächenumgriff auch auf Grund geeigneter Höhenangaben und früherer Hochwasserereignisse geschätzt werden. Für Wildbachgefährdungsbereiche ist das Bemessungshochwasser unter Berücksichtigung der wildbachtypischen Eigenschaften auf den Bereich mit signifikantem Hochwasserrisiko zu beziehen. Abweichend von Satz 1 gilt für Gewässer und Gewässerabschnitte im Wirkungsbereich von Stauanlagen, die den Hochwasserabfluss maßgeblich beeinflussen können, für die Ermittlung von Überschwemmungsgebieten jeweils ein gesondertes Bemessungshochwasser, das im Einzelfall auf der Grundlage der allgemein anerkannten Regeln der Technik von den wasserwirtschaftlichen Fachbehörden festgelegt wird.</w:t>
      </w:r>
    </w:p>
    <w:p>
      <w:r>
        <w:t xml:space="preserve">(3) Überschwemmungsgebiete im Sinn des § 76 Abs. 2 WHG und Wildbachgefährdungsbereiche müssen, die sonstigen Überschwemmungsgebiete können durch Rechtsverordnung festgesetzt werden. Nach früherem Recht festgesetzte Überschwemmungsgebiete gelten fort und sind gemäß Abs. 2 zu aktualisieren.</w:t>
      </w:r>
    </w:p>
    <w:p>
      <w:r>
        <w:t xml:space="preserve">(4) Wird ein Plan über die Errichtung und den Betrieb eines Hochwasserrückhaltebeckens nach § 68 Abs. 3 WHG festgestellt, sind zugleich die durch das Hochwasserstauziel bestimmten Überflutungsflächen als Überschwemmungsgebiet im Sinn des § 76 Abs. 2 Satz 1 WHG festzusetzen. Das Anhörungsverfahren nach Art. 73 Abs. 3 wird durch das Anhörungsverfahren für die Feststellung des Plans ersetzt. Bei Bekanntmachung und Auslegung des Plans ist auf die Rechtsfolge nach Satz 1 sowie die Möglichkeit zur Stellungnahme hierzu innerhalb der Einwendungsfrist nach Art. 73 Abs. 4 Satz 1 und 2 BayVwVfG hinzuweisen.</w:t>
      </w:r>
    </w:p>
    <w:p>
      <w:r>
        <w:t xml:space="preserve">(5) In der Rechtsverordnung kann für die Umwandlung von Dauergrünland in Ackerland ein Genehmigungsvorbehalt angeordnet werden, soweit dies zum Schutz vor Hochwassergefahren erforderlich ist; § 78a Abs. 1 Satz 1 Nr. 7 WHG ist nicht anzuwenden.</w:t>
      </w:r>
    </w:p>
    <w:p>
      <w:r>
        <w:t xml:space="preserve">(6) Zur Vermeidung von Hochwassergefahren können von der Kreisverwaltungsbehörde durch Anordnungen für den Einzelfall gegenüber den Eigentümern und Nutzungsberechtigten der Grundstücke Verbote, Beschränkungen, Duldungspflichten und Handlungspflichten erlassen werden, wenn ein Überschwemmungsgebiet festgesetzt oder vorläufig gesichert ist.</w:t>
      </w:r>
    </w:p>
    <w:p>
      <w:r>
        <w:t xml:space="preserve">(7) Um einen schadlosen Hochwasserabfluss sicherzustellen, kann die Kreisverwaltungsbehörde in einem Überschwemmungsgebiet nach § 76 Abs. 1 WHG gegenüber den Eigentümern oder Nutzungsberechtigten der Grundstücke anordnen, Hindernisse zu beseitigen, Eintiefungen aufzufüllen, Maßnahmen zur Verhütung von Auflandungen zu treffen und die Grundstücke so zu bewirtschaften, dass ein Aufstau und eine Bodenabschwemmung möglichst vermieden werden.</w:t>
      </w:r>
    </w:p>
    <w:p>
      <w:r>
        <w:t xml:space="preserve">(8) Ist im Einzelfall bei baulichen Anlagen eine Erfüllung der Ausgleichspflicht für verlorengehenden Rückhalteraum nach § 78 Abs. 5 Satz 1 Nr. 1 Buchst. a WHG nicht möglich, so können die Ausgleichsverpflichteten diese durch Beteiligung an der Maßnahme einer öffentlich-rechtlichen Gebietskörperschaft zur Hochwasserrückhaltung im Gemeindegebiet erfüllen, soweit die öffentlich-rechtliche Gebietskörperschaft zustimmt; § 13 Abs. 2 Nr. 4 WHG gilt entsprechend.</w:t>
      </w:r>
    </w:p>
    <w:p>
      <w:r>
        <w:rPr>
          <w:color w:val="555555"/>
          <w:sz w:val="17"/>
        </w:rPr>
        <w:t xml:space="preserve">Zitiervorschlag: Art 46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